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fill lighten(0)" focusposition=".5,.5" focussize="" method="linear sigma" focus="100%" type="gradientRadial"/>
    </v:background>
  </w:background>
  <w:body>
    <w:p w:rsidR="00582FD9" w:rsidRPr="00582FD9" w:rsidRDefault="00582FD9" w:rsidP="00582FD9">
      <w:pPr>
        <w:spacing w:before="100" w:after="10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</w:pPr>
      <w:r w:rsidRPr="00582FD9">
        <w:rPr>
          <w:rFonts w:ascii="Calibri" w:eastAsia="Times New Roman" w:hAnsi="Calibri" w:cs="Calibri"/>
          <w:b/>
          <w:bCs/>
          <w:sz w:val="28"/>
          <w:szCs w:val="28"/>
          <w:lang w:val="en-US" w:eastAsia="hr-HR"/>
        </w:rPr>
        <w:t>Kriteriji ocjenjivanja za nastavni predmet kemiju</w:t>
      </w:r>
    </w:p>
    <w:p w:rsidR="00582FD9" w:rsidRDefault="00582FD9" w:rsidP="00A574C3">
      <w:pPr>
        <w:spacing w:before="100" w:after="100" w:line="240" w:lineRule="auto"/>
        <w:rPr>
          <w:rFonts w:ascii="Calibri" w:eastAsia="Times New Roman" w:hAnsi="Calibri" w:cs="Calibri"/>
          <w:b/>
          <w:bCs/>
          <w:lang w:val="en-US" w:eastAsia="hr-HR"/>
        </w:rPr>
      </w:pPr>
    </w:p>
    <w:p w:rsidR="00582FD9" w:rsidRPr="00582FD9" w:rsidRDefault="00582FD9" w:rsidP="00A574C3">
      <w:pPr>
        <w:spacing w:before="100" w:after="100" w:line="240" w:lineRule="auto"/>
        <w:rPr>
          <w:rFonts w:ascii="Calibri" w:eastAsia="Times New Roman" w:hAnsi="Calibri" w:cs="Calibri"/>
          <w:lang w:val="en-US" w:eastAsia="hr-HR"/>
        </w:rPr>
      </w:pPr>
      <w:r w:rsidRPr="00582FD9">
        <w:rPr>
          <w:rFonts w:ascii="Calibri" w:eastAsia="Times New Roman" w:hAnsi="Calibri" w:cs="Calibri"/>
          <w:lang w:val="en-US" w:eastAsia="hr-HR"/>
        </w:rPr>
        <w:t>Josipa Kolanović Tičić, prof.</w:t>
      </w:r>
    </w:p>
    <w:p w:rsidR="00582FD9" w:rsidRPr="00582FD9" w:rsidRDefault="00582FD9" w:rsidP="00A574C3">
      <w:pPr>
        <w:spacing w:before="100" w:after="100" w:line="240" w:lineRule="auto"/>
        <w:rPr>
          <w:rFonts w:eastAsia="Times New Roman" w:cstheme="minorHAnsi"/>
          <w:lang w:val="en-US" w:eastAsia="hr-HR"/>
        </w:rPr>
      </w:pPr>
    </w:p>
    <w:p w:rsidR="00A574C3" w:rsidRPr="00582FD9" w:rsidRDefault="00A574C3" w:rsidP="00A574C3">
      <w:pPr>
        <w:spacing w:before="100" w:after="100" w:line="240" w:lineRule="auto"/>
        <w:rPr>
          <w:rFonts w:eastAsia="Times New Roman" w:cstheme="minorHAnsi"/>
          <w:lang w:val="en-US" w:eastAsia="hr-HR"/>
        </w:rPr>
      </w:pPr>
      <w:r w:rsidRPr="00582FD9">
        <w:rPr>
          <w:rFonts w:eastAsia="Times New Roman" w:cstheme="minorHAnsi"/>
          <w:b/>
          <w:bCs/>
          <w:lang w:val="en-US" w:eastAsia="hr-HR"/>
        </w:rPr>
        <w:t>Tablica 1</w:t>
      </w:r>
      <w:r w:rsidRPr="00582FD9">
        <w:rPr>
          <w:rFonts w:eastAsia="Times New Roman" w:cstheme="minorHAnsi"/>
          <w:b/>
          <w:bCs/>
          <w:lang w:eastAsia="hr-HR"/>
        </w:rPr>
        <w:t>.</w:t>
      </w:r>
      <w:r w:rsidRPr="00582FD9">
        <w:rPr>
          <w:rFonts w:eastAsia="Times New Roman" w:cstheme="minorHAnsi"/>
          <w:lang w:val="en-US" w:eastAsia="hr-HR"/>
        </w:rPr>
        <w:t xml:space="preserve"> Vrednovanje sadržaja i prirodoslovnog pristupa</w:t>
      </w:r>
    </w:p>
    <w:p w:rsidR="006378EC" w:rsidRPr="00582FD9" w:rsidRDefault="006378EC" w:rsidP="00A574C3">
      <w:pPr>
        <w:spacing w:before="100" w:after="100" w:line="240" w:lineRule="auto"/>
        <w:rPr>
          <w:rFonts w:eastAsia="Times New Roman" w:cstheme="minorHAnsi"/>
          <w:lang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2202"/>
        <w:gridCol w:w="1890"/>
        <w:gridCol w:w="1497"/>
        <w:gridCol w:w="1890"/>
        <w:gridCol w:w="1753"/>
      </w:tblGrid>
      <w:tr w:rsidR="00A574C3" w:rsidRPr="00582FD9" w:rsidTr="009B0DA3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val="en-US" w:eastAsia="hr-HR"/>
              </w:rPr>
              <w:t>R</w:t>
            </w:r>
            <w:r w:rsidRPr="00582FD9">
              <w:rPr>
                <w:rFonts w:eastAsia="Times New Roman" w:cstheme="minorHAnsi"/>
                <w:b/>
                <w:bCs/>
                <w:lang w:eastAsia="hr-HR"/>
              </w:rPr>
              <w:t>AZINE USVOJENOSTI/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ELEMENTI OCJENJIVANJA</w:t>
            </w:r>
          </w:p>
        </w:tc>
        <w:tc>
          <w:tcPr>
            <w:tcW w:w="1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zadovoljavajuća</w:t>
            </w:r>
          </w:p>
        </w:tc>
        <w:tc>
          <w:tcPr>
            <w:tcW w:w="1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dobra</w:t>
            </w:r>
          </w:p>
        </w:tc>
        <w:tc>
          <w:tcPr>
            <w:tcW w:w="1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vrlo dobra</w:t>
            </w:r>
          </w:p>
        </w:tc>
        <w:tc>
          <w:tcPr>
            <w:tcW w:w="1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iznimna</w:t>
            </w:r>
          </w:p>
        </w:tc>
      </w:tr>
      <w:tr w:rsidR="00A574C3" w:rsidRPr="00582FD9" w:rsidTr="009B0DA3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 xml:space="preserve">USVOJENOST NASTAVNIH SADRŽAJA </w:t>
            </w:r>
          </w:p>
        </w:tc>
        <w:tc>
          <w:tcPr>
            <w:tcW w:w="1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Učenik djelomično poznaje osnovne pojmove, zakone i jedinice. Učenik  griješi, ali uz pomoć nastavnika dođe do ispravnog odgovora.</w:t>
            </w:r>
          </w:p>
        </w:tc>
        <w:tc>
          <w:tcPr>
            <w:tcW w:w="1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Učenik poznaje sve pojmove, zakone i jedinice.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Sadržaje je usvojio u većoj mjeri bez pojedinosti, ne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primjenjuje stečeno znanje na samostalnim primjerima ili u novim situacijama.</w:t>
            </w:r>
          </w:p>
        </w:tc>
        <w:tc>
          <w:tcPr>
            <w:tcW w:w="1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Učenik razumije pojave, zakone i teorije i obrazlaže uzročno-posljedične veze uz povremenu pomoć nastavnika.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Učenik navodi svoje primjere iz svakodnevnog života.</w:t>
            </w:r>
          </w:p>
        </w:tc>
        <w:tc>
          <w:tcPr>
            <w:tcW w:w="1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Učenik potpuno samostalno interpretira pojave, zakone i teorije i obrazlaže uzročno-posljedične veze, te primjenjuje sadržaje u novim (vlastitim) primjerima iz situacijama ili novim problemima.</w:t>
            </w:r>
          </w:p>
        </w:tc>
      </w:tr>
      <w:tr w:rsidR="00A574C3" w:rsidRPr="00582FD9" w:rsidTr="009B0DA3">
        <w:tc>
          <w:tcPr>
            <w:tcW w:w="19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PRIRODOZNANSTVENI PRISTUP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</w:p>
        </w:tc>
        <w:tc>
          <w:tcPr>
            <w:tcW w:w="19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Rješava jednostavne zadatke izravnim uvrštavanjem veličina u formulu uz ne uvijek cjelovit postupak.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Ne povezuje rezultate i zaključke pokusa ili dobivenih podataka s konceptualnim spoznajama.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 xml:space="preserve">Učenik rijetko izrađuje domaće i školske zadaće, nepotpuno i s greškama, ne uključuje u </w:t>
            </w:r>
            <w:r w:rsidRPr="00582FD9">
              <w:rPr>
                <w:rFonts w:eastAsia="Times New Roman" w:cstheme="minorHAnsi"/>
                <w:lang w:eastAsia="hr-HR"/>
              </w:rPr>
              <w:lastRenderedPageBreak/>
              <w:t>rasprave, kasni s izradom samostalnog praktičnog rada, prezentacije ili plakati su oskudni i neprikladni.</w:t>
            </w:r>
          </w:p>
        </w:tc>
        <w:tc>
          <w:tcPr>
            <w:tcW w:w="14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lastRenderedPageBreak/>
              <w:t>Rješava jednostavne zadatke uz cjelovit postupak.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Ne povezuje rezultate i zaključke pokusa ili dobivenih podataka s konceptualnim spoznajama.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 xml:space="preserve">Učenik uglavnom izrađuje domaće i školske zadaće, ali su često </w:t>
            </w:r>
            <w:r w:rsidRPr="00582FD9">
              <w:rPr>
                <w:rFonts w:eastAsia="Times New Roman" w:cstheme="minorHAnsi"/>
                <w:lang w:eastAsia="hr-HR"/>
              </w:rPr>
              <w:lastRenderedPageBreak/>
              <w:t>nepotpune ili s greškama, ponekad se uključuje u raspravu, samostalne praktične radove izrađuje na vrijeme, ali površno.</w:t>
            </w:r>
          </w:p>
        </w:tc>
        <w:tc>
          <w:tcPr>
            <w:tcW w:w="19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lastRenderedPageBreak/>
              <w:t>Rješava složenije zadatke ili uz pomoć nastavnika ili bez cjelovitog postupka.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Djelomično povezuje rezultate i zaključke pokusa ili dobivenih podataka s konceptualnim spoznajama.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 xml:space="preserve"> Učenik redovito izrađuje domaće i školske zadaće, pri čemu ponekad griješi, u raspravama ponekad navodi pogrešnu argumentaciju ili </w:t>
            </w:r>
            <w:r w:rsidRPr="00582FD9">
              <w:rPr>
                <w:rFonts w:eastAsia="Times New Roman" w:cstheme="minorHAnsi"/>
                <w:lang w:eastAsia="hr-HR"/>
              </w:rPr>
              <w:lastRenderedPageBreak/>
              <w:t>zaključak, samostalne praktične radove izrađuje korektno, prezentacije su pregledne, točne i uočava se uloženi trud – međutim upute nisu poštovane do kraja ili se mogu uočiti nepreciznosti u pokrivanju zadatka ili izražavanju.</w:t>
            </w:r>
          </w:p>
        </w:tc>
        <w:tc>
          <w:tcPr>
            <w:tcW w:w="1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lastRenderedPageBreak/>
              <w:t>Samostalno, točno i cjelovito rješava nove problemske situacije ili konceptualne zadatke.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Stečeno znanje primjenjuje u svim situacijama. Sistematično i logično analizira podatke. Povezuje rezultate i zaključke pokusa ili dobivenih podataka s konceptualnim spoznajama.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Učenik redovito i točno izrađuje domaće i školske zadaće,  argumentirano raspravlja i točno zaključuje, samostalne praktične radove izrađuje korektno, na vrijeme, prezentacije ili plakati su pregledni, točni i kreativni.</w:t>
            </w:r>
          </w:p>
        </w:tc>
      </w:tr>
    </w:tbl>
    <w:p w:rsidR="00A574C3" w:rsidRPr="00582FD9" w:rsidRDefault="00A574C3" w:rsidP="00F03689">
      <w:pPr>
        <w:spacing w:before="100" w:after="100" w:line="240" w:lineRule="auto"/>
        <w:rPr>
          <w:rFonts w:eastAsia="Times New Roman" w:cstheme="minorHAnsi"/>
          <w:b/>
          <w:lang w:eastAsia="hr-HR"/>
        </w:rPr>
      </w:pPr>
    </w:p>
    <w:p w:rsidR="006378EC" w:rsidRPr="00582FD9" w:rsidRDefault="006378EC" w:rsidP="00F03689">
      <w:pPr>
        <w:spacing w:before="100" w:after="100" w:line="240" w:lineRule="auto"/>
        <w:rPr>
          <w:rFonts w:eastAsia="Times New Roman" w:cstheme="minorHAnsi"/>
          <w:b/>
          <w:lang w:eastAsia="hr-HR"/>
        </w:rPr>
      </w:pPr>
    </w:p>
    <w:p w:rsidR="00A574C3" w:rsidRPr="00582FD9" w:rsidRDefault="00A574C3" w:rsidP="00F03689">
      <w:pPr>
        <w:spacing w:before="100" w:after="100" w:line="240" w:lineRule="auto"/>
        <w:rPr>
          <w:rFonts w:eastAsia="Times New Roman" w:cstheme="minorHAnsi"/>
          <w:b/>
          <w:lang w:eastAsia="hr-HR"/>
        </w:rPr>
      </w:pPr>
      <w:r w:rsidRPr="00582FD9">
        <w:rPr>
          <w:rFonts w:eastAsia="Times New Roman" w:cstheme="minorHAnsi"/>
          <w:b/>
          <w:lang w:eastAsia="hr-HR"/>
        </w:rPr>
        <w:t>Bodovanje pismene provjere znanja:</w:t>
      </w:r>
    </w:p>
    <w:p w:rsidR="006378EC" w:rsidRPr="00582FD9" w:rsidRDefault="006378EC" w:rsidP="00F03689">
      <w:pPr>
        <w:spacing w:before="100" w:after="100" w:line="240" w:lineRule="auto"/>
        <w:rPr>
          <w:rFonts w:eastAsia="Times New Roman" w:cstheme="minorHAnsi"/>
          <w:b/>
          <w:lang w:eastAsia="hr-HR"/>
        </w:rPr>
      </w:pPr>
    </w:p>
    <w:p w:rsidR="001546DC" w:rsidRPr="00582FD9" w:rsidRDefault="009A7EA5" w:rsidP="00F03689">
      <w:pPr>
        <w:spacing w:before="100" w:after="100" w:line="240" w:lineRule="auto"/>
        <w:rPr>
          <w:rFonts w:eastAsia="Times New Roman" w:cstheme="minorHAnsi"/>
          <w:bCs/>
          <w:lang w:eastAsia="hr-HR"/>
        </w:rPr>
      </w:pPr>
      <w:r w:rsidRPr="00582FD9">
        <w:rPr>
          <w:rFonts w:eastAsia="Times New Roman" w:cstheme="minorHAnsi"/>
          <w:bCs/>
          <w:lang w:eastAsia="hr-HR"/>
        </w:rPr>
        <w:t>100-90</w:t>
      </w:r>
      <w:r w:rsidR="00A574C3" w:rsidRPr="00582FD9">
        <w:rPr>
          <w:rFonts w:eastAsia="Times New Roman" w:cstheme="minorHAnsi"/>
          <w:bCs/>
          <w:lang w:eastAsia="hr-HR"/>
        </w:rPr>
        <w:t>% za odličan, 89-77% za vr</w:t>
      </w:r>
      <w:r w:rsidRPr="00582FD9">
        <w:rPr>
          <w:rFonts w:eastAsia="Times New Roman" w:cstheme="minorHAnsi"/>
          <w:bCs/>
          <w:lang w:eastAsia="hr-HR"/>
        </w:rPr>
        <w:t>l</w:t>
      </w:r>
      <w:r w:rsidR="00A574C3" w:rsidRPr="00582FD9">
        <w:rPr>
          <w:rFonts w:eastAsia="Times New Roman" w:cstheme="minorHAnsi"/>
          <w:bCs/>
          <w:lang w:eastAsia="hr-HR"/>
        </w:rPr>
        <w:t xml:space="preserve">odobar, </w:t>
      </w:r>
      <w:r w:rsidRPr="00582FD9">
        <w:rPr>
          <w:rFonts w:eastAsia="Times New Roman" w:cstheme="minorHAnsi"/>
          <w:bCs/>
          <w:lang w:eastAsia="hr-HR"/>
        </w:rPr>
        <w:t>76-64% za dobar, 63-50% za dovoljan.</w:t>
      </w:r>
    </w:p>
    <w:p w:rsidR="001546DC" w:rsidRPr="00582FD9" w:rsidRDefault="001546DC" w:rsidP="00F03689">
      <w:pPr>
        <w:spacing w:before="100" w:after="100" w:line="240" w:lineRule="auto"/>
        <w:rPr>
          <w:rFonts w:eastAsia="Times New Roman" w:cstheme="minorHAnsi"/>
          <w:bCs/>
          <w:lang w:eastAsia="hr-HR"/>
        </w:rPr>
      </w:pPr>
    </w:p>
    <w:p w:rsidR="006378EC" w:rsidRPr="00582FD9" w:rsidRDefault="006378EC" w:rsidP="00F03689">
      <w:pPr>
        <w:spacing w:before="100" w:after="100" w:line="240" w:lineRule="auto"/>
        <w:rPr>
          <w:rFonts w:eastAsia="Times New Roman" w:cstheme="minorHAnsi"/>
          <w:bCs/>
          <w:lang w:eastAsia="hr-HR"/>
        </w:rPr>
      </w:pPr>
    </w:p>
    <w:p w:rsidR="00F03689" w:rsidRPr="00582FD9" w:rsidRDefault="00F03689" w:rsidP="00F03689">
      <w:pPr>
        <w:spacing w:before="100" w:after="100" w:line="240" w:lineRule="auto"/>
        <w:rPr>
          <w:rFonts w:eastAsia="Times New Roman" w:cstheme="minorHAnsi"/>
          <w:lang w:eastAsia="hr-HR"/>
        </w:rPr>
      </w:pPr>
      <w:r w:rsidRPr="00582FD9">
        <w:rPr>
          <w:rFonts w:eastAsia="Times New Roman" w:cstheme="minorHAnsi"/>
          <w:b/>
          <w:lang w:eastAsia="hr-HR"/>
        </w:rPr>
        <w:t xml:space="preserve">Tablica </w:t>
      </w:r>
      <w:r w:rsidR="00A574C3" w:rsidRPr="00582FD9">
        <w:rPr>
          <w:rFonts w:eastAsia="Times New Roman" w:cstheme="minorHAnsi"/>
          <w:b/>
          <w:lang w:eastAsia="hr-HR"/>
        </w:rPr>
        <w:t>2</w:t>
      </w:r>
      <w:r w:rsidRPr="00582FD9">
        <w:rPr>
          <w:rFonts w:eastAsia="Times New Roman" w:cstheme="minorHAnsi"/>
          <w:b/>
          <w:lang w:eastAsia="hr-HR"/>
        </w:rPr>
        <w:t>.</w:t>
      </w:r>
      <w:r w:rsidR="009B0DA3" w:rsidRPr="00582FD9">
        <w:rPr>
          <w:rFonts w:eastAsia="Times New Roman" w:cstheme="minorHAnsi"/>
          <w:lang w:eastAsia="hr-HR"/>
        </w:rPr>
        <w:t>V</w:t>
      </w:r>
      <w:r w:rsidRPr="00582FD9">
        <w:rPr>
          <w:rFonts w:eastAsia="Times New Roman" w:cstheme="minorHAnsi"/>
          <w:lang w:eastAsia="hr-HR"/>
        </w:rPr>
        <w:t>rednovanj</w:t>
      </w:r>
      <w:r w:rsidR="009B0DA3" w:rsidRPr="00582FD9">
        <w:rPr>
          <w:rFonts w:eastAsia="Times New Roman" w:cstheme="minorHAnsi"/>
          <w:lang w:eastAsia="hr-HR"/>
        </w:rPr>
        <w:t>e</w:t>
      </w:r>
      <w:r w:rsidRPr="00582FD9">
        <w:rPr>
          <w:rFonts w:eastAsia="Times New Roman" w:cstheme="minorHAnsi"/>
          <w:lang w:eastAsia="hr-HR"/>
        </w:rPr>
        <w:t xml:space="preserve"> plakata</w:t>
      </w:r>
    </w:p>
    <w:p w:rsidR="006378EC" w:rsidRPr="00582FD9" w:rsidRDefault="006378EC" w:rsidP="00F03689">
      <w:pPr>
        <w:spacing w:before="100" w:after="100" w:line="240" w:lineRule="auto"/>
        <w:rPr>
          <w:rFonts w:eastAsia="Times New Roman" w:cstheme="minorHAnsi"/>
          <w:lang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452"/>
        <w:gridCol w:w="1587"/>
        <w:gridCol w:w="1517"/>
        <w:gridCol w:w="1384"/>
        <w:gridCol w:w="1417"/>
        <w:gridCol w:w="1695"/>
      </w:tblGrid>
      <w:tr w:rsidR="00F03689" w:rsidRPr="00582FD9" w:rsidTr="00A574C3">
        <w:tc>
          <w:tcPr>
            <w:tcW w:w="14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ELEMENTI I BODOVI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5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4</w:t>
            </w:r>
          </w:p>
        </w:tc>
        <w:tc>
          <w:tcPr>
            <w:tcW w:w="1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3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2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1</w:t>
            </w:r>
          </w:p>
        </w:tc>
      </w:tr>
      <w:tr w:rsidR="00F03689" w:rsidRPr="00582FD9" w:rsidTr="00A574C3">
        <w:tc>
          <w:tcPr>
            <w:tcW w:w="14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JASNOĆA PORUKE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Cilj i svrha jasno i precizno izloženi.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Sadrži sve elemente. Nije potpuno postignuta jasnoća cilja.</w:t>
            </w:r>
          </w:p>
        </w:tc>
        <w:tc>
          <w:tcPr>
            <w:tcW w:w="1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Djelomično jasna poruka.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Otežano praćenje naznačene poruke.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Nerazumljiva poruka.</w:t>
            </w:r>
          </w:p>
        </w:tc>
      </w:tr>
      <w:tr w:rsidR="00F03689" w:rsidRPr="00582FD9" w:rsidTr="00A574C3">
        <w:tc>
          <w:tcPr>
            <w:tcW w:w="14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KVALITETA SADRŽAJA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Sadržaj visoke razine, tehnički dotjeran, zanimljiv i jasan.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Razrada problema na visokoj razini, ali neprilagođeno široj javnosti. Ne pobuđuje osobito zanimanje publike.</w:t>
            </w:r>
          </w:p>
        </w:tc>
        <w:tc>
          <w:tcPr>
            <w:tcW w:w="1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Pristup dobar. Obrada podataka nedovoljno atraktivna.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Niska razina. Ne pobuđuje interes promatrača.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Preniska razina obrade sadržaja. Sadrži opće pojmove, nema dubine ili ne sadrži relevantne (valjane podatke).</w:t>
            </w:r>
          </w:p>
        </w:tc>
      </w:tr>
      <w:tr w:rsidR="00F03689" w:rsidRPr="00582FD9" w:rsidTr="00A574C3">
        <w:tc>
          <w:tcPr>
            <w:tcW w:w="14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KREATIVNOST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Kreativnost maksimalno vizualno prepoznatljiva. Estetski dotjeran. Poruka, tekst, boje i izbor slova u službi su sadržaja.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Kreativan, ali traži doradu u estetskom izgledu. Vizualno nedovoljno prepoznatljiv.</w:t>
            </w:r>
          </w:p>
        </w:tc>
        <w:tc>
          <w:tcPr>
            <w:tcW w:w="1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Nedovoljno zanimljiv. Nije posve pregledan i pobuđuje slab interes promatrača.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Vizualno neatraktivan. Loše izabrani tekstualni i slikovni prikazi.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Posve bez kreativnosti. Vizualno neprepoznatljiva poruka.</w:t>
            </w:r>
          </w:p>
        </w:tc>
      </w:tr>
      <w:tr w:rsidR="00F03689" w:rsidRPr="00582FD9" w:rsidTr="00A574C3">
        <w:tc>
          <w:tcPr>
            <w:tcW w:w="14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B7DDE8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IZGLED I PRIKLADNOST PRIKAZA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Poruka jasna, dojmljiva, jezgrovita, vizualno pregledna.Lako se prati i bez prisustva autora.</w:t>
            </w:r>
          </w:p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U velikoj mjeri djeluje na svijest i formiranje stavova promatrača.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Poruka jasna, ali je estetski plakat nedovoljno atraktivan, sadrži previše detalja i nepregledan je.</w:t>
            </w:r>
          </w:p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Grafički dobro dizajniran uz manje estetske dorade. Može utjecati na svijest promatrača, ali ne trajno.</w:t>
            </w:r>
          </w:p>
        </w:tc>
        <w:tc>
          <w:tcPr>
            <w:tcW w:w="1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Poruka relativno jasna, nepovezana. Slabo je uočljiva, plakat je nepregledan i ne pobuđuje zanimanje promatrača.</w:t>
            </w:r>
          </w:p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Slike i grafikoni dobro odabrani, ali sadrži nedovoljno objašnjenje poruke. Ne djeluje na promatrača tako da bi mu probudila svijest ili formirala stav.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Poruka postoji, ali se razumije uz napor promatrača. Djeluje nepovezano, može se pratiti tek uz pomoć autora.</w:t>
            </w:r>
          </w:p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Slike i grafikoni djelomično točni i odgovarajući sadržaju. Otežano se prati poruka i ne ostavlja dublju impresiju na promatrača.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Poruka nevidljiva. Sadržaj postera nije jasan. Estetski i vizualno nerazumljive kombinacije slika i teksta.</w:t>
            </w:r>
          </w:p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Slike i grafikoni nisu dobro odabrani. Nejasni su, neprilagođeni osnovnoj poruci ili nisu valjani.</w:t>
            </w:r>
          </w:p>
        </w:tc>
      </w:tr>
      <w:tr w:rsidR="00F03689" w:rsidRPr="00582FD9" w:rsidTr="00A574C3">
        <w:tc>
          <w:tcPr>
            <w:tcW w:w="145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UKUPNO BODOVA: 20</w:t>
            </w:r>
          </w:p>
        </w:tc>
        <w:tc>
          <w:tcPr>
            <w:tcW w:w="15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Cs/>
                <w:lang w:eastAsia="hr-HR"/>
              </w:rPr>
              <w:t>19 – 20 = 5</w:t>
            </w:r>
          </w:p>
        </w:tc>
        <w:tc>
          <w:tcPr>
            <w:tcW w:w="15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Cs/>
                <w:lang w:eastAsia="hr-HR"/>
              </w:rPr>
              <w:t>15 – 18 = 4</w:t>
            </w:r>
          </w:p>
        </w:tc>
        <w:tc>
          <w:tcPr>
            <w:tcW w:w="1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Cs/>
                <w:lang w:eastAsia="hr-HR"/>
              </w:rPr>
              <w:t>10 – 14 = 3</w:t>
            </w:r>
          </w:p>
        </w:tc>
        <w:tc>
          <w:tcPr>
            <w:tcW w:w="14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Cs/>
                <w:lang w:eastAsia="hr-HR"/>
              </w:rPr>
              <w:t>5 – 9 = 2</w:t>
            </w:r>
          </w:p>
        </w:tc>
        <w:tc>
          <w:tcPr>
            <w:tcW w:w="16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03689" w:rsidRPr="00582FD9" w:rsidRDefault="00F03689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Cs/>
                <w:lang w:eastAsia="hr-HR"/>
              </w:rPr>
              <w:t>0 – 5 = 1</w:t>
            </w:r>
          </w:p>
        </w:tc>
      </w:tr>
    </w:tbl>
    <w:p w:rsidR="001546DC" w:rsidRDefault="001546DC" w:rsidP="00A574C3">
      <w:pPr>
        <w:spacing w:line="240" w:lineRule="auto"/>
        <w:rPr>
          <w:rFonts w:eastAsia="Times New Roman" w:cstheme="minorHAnsi"/>
          <w:b/>
          <w:lang w:val="en-US" w:eastAsia="hr-HR"/>
        </w:rPr>
      </w:pPr>
    </w:p>
    <w:p w:rsidR="00582FD9" w:rsidRDefault="00582FD9" w:rsidP="00A574C3">
      <w:pPr>
        <w:spacing w:line="240" w:lineRule="auto"/>
        <w:rPr>
          <w:rFonts w:eastAsia="Times New Roman" w:cstheme="minorHAnsi"/>
          <w:b/>
          <w:lang w:val="en-US" w:eastAsia="hr-HR"/>
        </w:rPr>
      </w:pPr>
    </w:p>
    <w:p w:rsidR="00582FD9" w:rsidRDefault="00582FD9" w:rsidP="00A574C3">
      <w:pPr>
        <w:spacing w:line="240" w:lineRule="auto"/>
        <w:rPr>
          <w:rFonts w:eastAsia="Times New Roman" w:cstheme="minorHAnsi"/>
          <w:b/>
          <w:lang w:val="en-US" w:eastAsia="hr-HR"/>
        </w:rPr>
      </w:pPr>
    </w:p>
    <w:p w:rsidR="00582FD9" w:rsidRDefault="00582FD9" w:rsidP="00A574C3">
      <w:pPr>
        <w:spacing w:line="240" w:lineRule="auto"/>
        <w:rPr>
          <w:rFonts w:eastAsia="Times New Roman" w:cstheme="minorHAnsi"/>
          <w:b/>
          <w:lang w:val="en-US" w:eastAsia="hr-HR"/>
        </w:rPr>
      </w:pPr>
    </w:p>
    <w:p w:rsidR="00582FD9" w:rsidRDefault="00582FD9" w:rsidP="00A574C3">
      <w:pPr>
        <w:spacing w:line="240" w:lineRule="auto"/>
        <w:rPr>
          <w:rFonts w:eastAsia="Times New Roman" w:cstheme="minorHAnsi"/>
          <w:b/>
          <w:lang w:val="en-US" w:eastAsia="hr-HR"/>
        </w:rPr>
      </w:pPr>
    </w:p>
    <w:p w:rsidR="00582FD9" w:rsidRPr="00582FD9" w:rsidRDefault="00582FD9" w:rsidP="00A574C3">
      <w:pPr>
        <w:spacing w:line="240" w:lineRule="auto"/>
        <w:rPr>
          <w:rFonts w:eastAsia="Times New Roman" w:cstheme="minorHAnsi"/>
          <w:b/>
          <w:lang w:val="en-US" w:eastAsia="hr-HR"/>
        </w:rPr>
      </w:pPr>
    </w:p>
    <w:p w:rsidR="006378EC" w:rsidRPr="00582FD9" w:rsidRDefault="006378EC" w:rsidP="00A574C3">
      <w:pPr>
        <w:spacing w:line="240" w:lineRule="auto"/>
        <w:rPr>
          <w:rFonts w:eastAsia="Times New Roman" w:cstheme="minorHAnsi"/>
          <w:b/>
          <w:lang w:val="en-US" w:eastAsia="hr-HR"/>
        </w:rPr>
      </w:pPr>
    </w:p>
    <w:p w:rsidR="00A574C3" w:rsidRPr="00582FD9" w:rsidRDefault="00A574C3" w:rsidP="00A574C3">
      <w:pPr>
        <w:spacing w:line="240" w:lineRule="auto"/>
        <w:rPr>
          <w:rFonts w:eastAsia="Times New Roman" w:cstheme="minorHAnsi"/>
          <w:lang w:val="en-US" w:eastAsia="hr-HR"/>
        </w:rPr>
      </w:pPr>
      <w:r w:rsidRPr="00582FD9">
        <w:rPr>
          <w:rFonts w:eastAsia="Times New Roman" w:cstheme="minorHAnsi"/>
          <w:b/>
          <w:lang w:val="en-US" w:eastAsia="hr-HR"/>
        </w:rPr>
        <w:t>Tablica 3.</w:t>
      </w:r>
      <w:r w:rsidRPr="00582FD9">
        <w:rPr>
          <w:rFonts w:eastAsia="Times New Roman" w:cstheme="minorHAnsi"/>
          <w:lang w:val="en-US" w:eastAsia="hr-HR"/>
        </w:rPr>
        <w:t xml:space="preserve"> Vrednovanje pokusa</w:t>
      </w:r>
    </w:p>
    <w:p w:rsidR="006378EC" w:rsidRPr="00582FD9" w:rsidRDefault="006378EC" w:rsidP="00A574C3">
      <w:pPr>
        <w:spacing w:line="240" w:lineRule="auto"/>
        <w:rPr>
          <w:rFonts w:eastAsia="Times New Roman" w:cstheme="minorHAnsi"/>
          <w:lang w:val="en-US" w:eastAsia="hr-HR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2321"/>
        <w:gridCol w:w="2682"/>
        <w:gridCol w:w="2513"/>
      </w:tblGrid>
      <w:tr w:rsidR="00A574C3" w:rsidRPr="00582FD9" w:rsidTr="00310E62">
        <w:tc>
          <w:tcPr>
            <w:tcW w:w="1716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sz w:val="28"/>
                <w:lang w:eastAsia="hr-HR"/>
              </w:rPr>
              <w:t>ELEMENTI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lang w:eastAsia="hr-HR"/>
              </w:rPr>
              <w:t> </w:t>
            </w:r>
          </w:p>
        </w:tc>
        <w:tc>
          <w:tcPr>
            <w:tcW w:w="7516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KRITERIJI</w:t>
            </w:r>
          </w:p>
        </w:tc>
      </w:tr>
      <w:tr w:rsidR="00A574C3" w:rsidRPr="00582FD9" w:rsidTr="00310E62">
        <w:tc>
          <w:tcPr>
            <w:tcW w:w="1716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IZVRSNO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ODGOVARAJUĆE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U RAZVOJU</w:t>
            </w:r>
          </w:p>
        </w:tc>
      </w:tr>
      <w:tr w:rsidR="00A574C3" w:rsidRPr="00582FD9" w:rsidTr="00310E62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RADNO MJESTO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>Uredno, pregledno i organizirano.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Uredno, ali nedovoljno organizirano ili nepregledno.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>Neuredno, posve neorganizirano i nepregledno.</w:t>
            </w:r>
          </w:p>
        </w:tc>
      </w:tr>
      <w:tr w:rsidR="00A574C3" w:rsidRPr="00582FD9" w:rsidTr="00310E62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IZVOĐENJE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POKUSA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Spretno rukuje s posuđem i kemikalijama, poštuje mjere opreza pri radu u laboratoriju, precizno izvodi mjerenja i zapisuje </w:t>
            </w:r>
            <w:r w:rsidR="009B0DA3" w:rsidRPr="00582FD9">
              <w:rPr>
                <w:rFonts w:eastAsia="Times New Roman" w:cstheme="minorHAnsi"/>
                <w:color w:val="000000"/>
                <w:lang w:eastAsia="hr-HR"/>
              </w:rPr>
              <w:t>bitne</w:t>
            </w: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 bilješke.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>Spretno rukuje s posuđem i kemikalijama, ne poštuje mjere opreza pri radu u laboratoriju, precizno izvodi mjerenja</w:t>
            </w:r>
            <w:r w:rsidR="009B0DA3" w:rsidRPr="00582FD9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 ali ne zapisuje</w:t>
            </w:r>
            <w:r w:rsidR="009B0DA3" w:rsidRPr="00582FD9">
              <w:rPr>
                <w:rFonts w:eastAsia="Times New Roman" w:cstheme="minorHAnsi"/>
                <w:color w:val="000000"/>
                <w:lang w:eastAsia="hr-HR"/>
              </w:rPr>
              <w:t xml:space="preserve"> bitne</w:t>
            </w: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 bilješke.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Nevješto rukuje bilo s opremom, bilo s kemikalijama, ne poštuje mjere opreza pri radu u laboratoriju, nema precizna mjerenja ili ne zapisuje </w:t>
            </w:r>
            <w:r w:rsidR="009B0DA3" w:rsidRPr="00582FD9">
              <w:rPr>
                <w:rFonts w:eastAsia="Times New Roman" w:cstheme="minorHAnsi"/>
                <w:color w:val="000000"/>
                <w:lang w:eastAsia="hr-HR"/>
              </w:rPr>
              <w:t>bitne</w:t>
            </w: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 bilješke.</w:t>
            </w:r>
          </w:p>
        </w:tc>
      </w:tr>
      <w:tr w:rsidR="00A574C3" w:rsidRPr="00582FD9" w:rsidTr="00310E62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OPREMA I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APARATURA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>Bira pribor i kemikalije prikladne za izvođenje zadanog pokusa.</w:t>
            </w:r>
          </w:p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Ispravno slaže aparaturu potrebnu za izvođenje pokusa.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Neki dijelovi pribora tj. kemikalija nisu dobar izbor za izvođenje zadanog pokusa. Svi dijelovi aparature nisu ispravno složeni.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>Većina pribora tj. kemikalija nisu prikladne za izvođenje zadanog pokusa. Aparatura nije ispravno složena ili nije uopće složena.</w:t>
            </w:r>
          </w:p>
        </w:tc>
      </w:tr>
      <w:tr w:rsidR="00A574C3" w:rsidRPr="00582FD9" w:rsidTr="00310E62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OBRADA PODATAKA I PRIKAZ REZULTATA  ili RAČUN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Rezultati su sistematično i jasno prikazani (tablice, grafovi, slike) i prikladno obrađeni. Konačni račun je točan u svim dijelovima. 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>Rezultati su sistematično i jasno prikazani (tablice, grafovi, slike)</w:t>
            </w:r>
            <w:r w:rsidR="001546DC" w:rsidRPr="00582FD9">
              <w:rPr>
                <w:rFonts w:eastAsia="Times New Roman" w:cstheme="minorHAnsi"/>
                <w:color w:val="000000"/>
                <w:lang w:eastAsia="hr-HR"/>
              </w:rPr>
              <w:t>,</w:t>
            </w: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 ali nisu prikladno obrađeni. U računu postoji pogreška.  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Rezultati su nesistematično i nejasno prikazani (tablice, grafovi, slike) ili neprikladno obrađeni. Račun je potpuno pogrešan.   </w:t>
            </w:r>
          </w:p>
        </w:tc>
      </w:tr>
      <w:tr w:rsidR="00A574C3" w:rsidRPr="00582FD9" w:rsidTr="00310E62">
        <w:tc>
          <w:tcPr>
            <w:tcW w:w="17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BEEF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582FD9">
              <w:rPr>
                <w:rFonts w:eastAsia="Times New Roman" w:cstheme="minorHAnsi"/>
                <w:b/>
                <w:bCs/>
                <w:lang w:eastAsia="hr-HR"/>
              </w:rPr>
              <w:t>OBRAZLOŽENJE POKUSA ili ZAKLJUČAK</w:t>
            </w:r>
          </w:p>
        </w:tc>
        <w:tc>
          <w:tcPr>
            <w:tcW w:w="23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Rezultati su ispravno protumačeni. Obrazloženje pokusa ili zaključak je točno, jasno napisan i proizlazi iz dobivenih rezultata. </w:t>
            </w:r>
          </w:p>
        </w:tc>
        <w:tc>
          <w:tcPr>
            <w:tcW w:w="2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>Obrazloženje pokusa ili zaključak djelomično je točan. Ne  proizlazi potpuno iz dobivenih rezultata, ili su rezultati djelomično krivo protumačeni.</w:t>
            </w:r>
          </w:p>
        </w:tc>
        <w:tc>
          <w:tcPr>
            <w:tcW w:w="2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574C3" w:rsidRPr="00582FD9" w:rsidRDefault="00A574C3" w:rsidP="00310E6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  <w:r w:rsidRPr="00582FD9">
              <w:rPr>
                <w:rFonts w:eastAsia="Times New Roman" w:cstheme="minorHAnsi"/>
                <w:color w:val="000000"/>
                <w:lang w:eastAsia="hr-HR"/>
              </w:rPr>
              <w:t xml:space="preserve">Obrazloženje pokusa ili zaključak nije točan. Ne proizlazi iz dobivenih rezultata ili su rezultati potpuno krivo protumačeni. </w:t>
            </w:r>
          </w:p>
        </w:tc>
      </w:tr>
    </w:tbl>
    <w:p w:rsidR="00A475D4" w:rsidRPr="00582FD9" w:rsidRDefault="00A475D4">
      <w:pPr>
        <w:rPr>
          <w:rFonts w:cstheme="minorHAnsi"/>
        </w:rPr>
      </w:pPr>
    </w:p>
    <w:sectPr w:rsidR="00A475D4" w:rsidRPr="00582FD9" w:rsidSect="0063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compat/>
  <w:rsids>
    <w:rsidRoot w:val="0036383B"/>
    <w:rsid w:val="00026870"/>
    <w:rsid w:val="001546DC"/>
    <w:rsid w:val="0036383B"/>
    <w:rsid w:val="00535A94"/>
    <w:rsid w:val="00582FD9"/>
    <w:rsid w:val="006378EC"/>
    <w:rsid w:val="006E70DE"/>
    <w:rsid w:val="009A7EA5"/>
    <w:rsid w:val="009B0DA3"/>
    <w:rsid w:val="00A475D4"/>
    <w:rsid w:val="00A574C3"/>
    <w:rsid w:val="00A81D06"/>
    <w:rsid w:val="00C3264B"/>
    <w:rsid w:val="00C331DE"/>
    <w:rsid w:val="00F03689"/>
    <w:rsid w:val="00F07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F88C5-39A8-4E6E-805A-4414237E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Kolanović-Tičić</dc:creator>
  <cp:lastModifiedBy>Korisnik</cp:lastModifiedBy>
  <cp:revision>2</cp:revision>
  <cp:lastPrinted>2021-09-21T18:09:00Z</cp:lastPrinted>
  <dcterms:created xsi:type="dcterms:W3CDTF">2021-11-08T08:23:00Z</dcterms:created>
  <dcterms:modified xsi:type="dcterms:W3CDTF">2021-11-08T08:23:00Z</dcterms:modified>
</cp:coreProperties>
</file>